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"/>
        <w:rPr>
          <w:b/>
          <w:sz w:val="18"/>
          <w:szCs w:val="18"/>
          <w:u w:val="single"/>
          <w:lang w:val="fr-CH"/>
        </w:rPr>
      </w:pPr>
      <w:r>
        <w:rPr>
          <w:b/>
          <w:sz w:val="18"/>
          <w:szCs w:val="18"/>
          <w:u w:val="single"/>
          <w:lang w:val="fr-CH"/>
        </w:rPr>
        <w:t>Fragebogen zu ICP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708"/>
        <w:gridCol w:w="851"/>
      </w:tblGrid>
      <w:t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eine Deklaration der Geschäftsleitung, welche die Einhaltung der Vorschriften im Exportkontrol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bereich als ein Element der Firmenpolitik zum Ausdruck bringt?</w:t>
            </w:r>
          </w:p>
        </w:tc>
        <w:bookmarkStart w:id="0" w:name="_GoBack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ein Organigramm, aus dem ersichtlich ist, welche Stellen für Exportkontrollen zuständig sind?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Stelle ist in Ihrem Unternehmen für Exportkontrollen zuständig (Exportkontrollverantwortlicher)</w:t>
            </w:r>
          </w:p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 ist als Ansprechspartner in administrativen Fragen der Exportkontrollen für das SECO bezeichnet?</w:t>
            </w:r>
          </w:p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Geschäftsabwicklung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Bestehen Weisungen, wonach während der Auftragsabwicklung (Bestellung/Verkauf) </w:t>
            </w:r>
            <w:r>
              <w:rPr>
                <w:b/>
                <w:sz w:val="18"/>
                <w:szCs w:val="18"/>
                <w:u w:val="single"/>
              </w:rPr>
              <w:t>von bewill</w:t>
            </w:r>
            <w:r>
              <w:rPr>
                <w:b/>
                <w:sz w:val="18"/>
                <w:szCs w:val="18"/>
                <w:u w:val="single"/>
              </w:rPr>
              <w:t>i</w:t>
            </w:r>
            <w:r>
              <w:rPr>
                <w:b/>
                <w:sz w:val="18"/>
                <w:szCs w:val="18"/>
                <w:u w:val="single"/>
              </w:rPr>
              <w:t>gungspflichtigen Gütern der Anhänge 2, 3 oder 5 GKV</w:t>
            </w:r>
            <w:r>
              <w:rPr>
                <w:sz w:val="18"/>
                <w:szCs w:val="18"/>
              </w:rPr>
              <w:t xml:space="preserve"> die Kunden und/oder Endverwender anhand einer Checkliste (Red Flag: Know your customer / Check of end-user and end-use / Catch-all) zu übe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prüfen sind?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Bestehen Weisungen über die Auftragsabwicklung (Bestellung/Verkauf) von </w:t>
            </w:r>
            <w:r>
              <w:rPr>
                <w:b/>
                <w:sz w:val="18"/>
                <w:szCs w:val="18"/>
              </w:rPr>
              <w:t>nicht kontrollierten G</w:t>
            </w:r>
            <w:r>
              <w:rPr>
                <w:b/>
                <w:sz w:val="18"/>
                <w:szCs w:val="18"/>
              </w:rPr>
              <w:t>ü</w:t>
            </w:r>
            <w:r>
              <w:rPr>
                <w:b/>
                <w:sz w:val="18"/>
                <w:szCs w:val="18"/>
              </w:rPr>
              <w:t>tern</w:t>
            </w:r>
            <w:r>
              <w:rPr>
                <w:sz w:val="18"/>
                <w:szCs w:val="18"/>
              </w:rPr>
              <w:t>, die für die Entwicklung oder Herstellung von Massenvernichtungswaffen oder deren Trägersyst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men missbraucht werden könnten (Red Flag: Know your customer / Check of end-user and end-use / Catch-all)?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Bestehen firmeninterne Ausbildungen zu Exportkontrollen?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firmenexterne Ausbildungskurse zu Exportkontrollen besucht?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firmeninterne Audits zu Exportkontrollen durchgeführt?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Ihre Produktepalette regelmässig auf die Bewilligungspflicht überprüft (Erfassung durch die Anhä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ge zur Güterkontrollverordnung)?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pStyle w:val="Text"/>
        <w:spacing w:after="0"/>
        <w:rPr>
          <w:b/>
          <w:u w:val="single"/>
          <w:lang w:val="fr-CH"/>
        </w:rPr>
      </w:pP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 xml:space="preserve">Ort und Datum: 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 xml:space="preserve">............................................  </w:t>
      </w: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>Name und Unterschrift: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>.............................................</w:t>
      </w: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>Funktionsbezeichnung: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>.............................................</w:t>
      </w: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>Firmenstempel:</w:t>
      </w:r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>
      <w:trPr>
        <w:trHeight w:val="567"/>
      </w:trPr>
      <w:tc>
        <w:tcPr>
          <w:tcW w:w="4338" w:type="dxa"/>
          <w:vAlign w:val="bottom"/>
        </w:tcPr>
        <w:p>
          <w:pPr>
            <w:pStyle w:val="zzPfad"/>
          </w:pPr>
        </w:p>
      </w:tc>
      <w:tc>
        <w:tcPr>
          <w:tcW w:w="5256" w:type="dxa"/>
          <w:vAlign w:val="bottom"/>
        </w:tcPr>
        <w:p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  <w:r>
            <w:rPr>
              <w:lang w:val="fr-FR"/>
            </w:rPr>
            <w:br/>
          </w:r>
          <w:r>
            <w:rPr>
              <w:lang w:val="fr-CH"/>
            </w:rPr>
            <w:t>Exportkontrollen / Industrieprodukte</w:t>
          </w:r>
        </w:p>
        <w:p>
          <w:pPr>
            <w:pStyle w:val="zzFussAdr"/>
            <w:ind w:left="-108"/>
          </w:pPr>
          <w:fldSimple w:instr=" DOCPROPERTY  FSC#EVDCFG@15.1400:FileRespStreet \* MERGEFORMAT ">
            <w:r>
              <w:t>Holzikofenweg 36</w:t>
            </w:r>
          </w:fldSimple>
          <w:r>
            <w:t xml:space="preserve">, </w:t>
          </w:r>
          <w:fldSimple w:instr=" DOCPROPERTY  FSC#EVDCFG@15.1400:FileRespZipCode \* MERGEFORMAT ">
            <w:r>
              <w:t>3003</w:t>
            </w:r>
          </w:fldSimple>
          <w:r>
            <w:t xml:space="preserve"> </w:t>
          </w:r>
          <w:r>
            <w:fldChar w:fldCharType="begin"/>
          </w:r>
          <w:r>
            <w:instrText xml:space="preserve"> IF </w:instrText>
          </w:r>
          <w:fldSimple w:instr=" DOCPROPERTY &quot;FSC#EVDCFG@15.1400:FileRespHome&quot; \* MERGEFORMAT ">
            <w:r>
              <w:instrText>Bern</w:instrText>
            </w:r>
          </w:fldSimple>
          <w:r>
            <w:instrText xml:space="preserve"> = "Bern" "</w:instrText>
          </w:r>
          <w:fldSimple w:instr=" DOCPROPERTY &quot;FSC#EVDCFG@15.1400:FileRespHome&quot; \* MERGEFORMAT ">
            <w:r>
              <w:instrText>Bern</w:instrText>
            </w:r>
          </w:fldSimple>
          <w:r>
            <w:instrText xml:space="preserve">e" </w:instrText>
          </w:r>
          <w:r>
            <w:fldChar w:fldCharType="begin"/>
          </w:r>
          <w:r>
            <w:instrText xml:space="preserve"> DOCPROPERTY "FSC#EVDCFG@15.1400:FileRespHome" \* MERGEFORMAT 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t>Berne</w:t>
          </w:r>
          <w:r>
            <w:fldChar w:fldCharType="end"/>
          </w:r>
        </w:p>
        <w:p>
          <w:pPr>
            <w:pStyle w:val="zzFussAdr"/>
            <w:ind w:left="-108"/>
            <w:rPr>
              <w:lang w:val="fr-FR"/>
            </w:rPr>
          </w:pPr>
          <w:r>
            <w:t>Tél. +41 (31) 324 84 86</w:t>
          </w:r>
          <w:r>
            <w:rPr>
              <w:lang w:val="fr-FR"/>
            </w:rPr>
            <w:t>, Fax +41 (31) 324 95 32</w:t>
          </w:r>
        </w:p>
        <w:p>
          <w:pPr>
            <w:pStyle w:val="zzFussAdr"/>
            <w:ind w:left="-108"/>
            <w:rPr>
              <w:lang w:val="fr-FR"/>
            </w:rPr>
          </w:pPr>
          <w:r>
            <w:t>industrieprodukte@seco.admin.ch</w:t>
          </w:r>
          <w:r>
            <w:rPr>
              <w:lang w:val="fr-FR"/>
            </w:rPr>
            <w:t xml:space="preserve"> </w:t>
          </w:r>
        </w:p>
        <w:p>
          <w:pPr>
            <w:pStyle w:val="zzSeite"/>
            <w:ind w:left="-108"/>
            <w:jc w:val="left"/>
          </w:pPr>
          <w:r>
            <w:rPr>
              <w:lang w:val="fr-FR"/>
            </w:rPr>
            <w:t>www.seco.admin.ch</w:t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>
      <w:tc>
        <w:tcPr>
          <w:tcW w:w="4253" w:type="dxa"/>
          <w:vAlign w:val="bottom"/>
        </w:tcPr>
        <w:p/>
      </w:tc>
      <w:tc>
        <w:tcPr>
          <w:tcW w:w="5029" w:type="dxa"/>
        </w:tcPr>
        <w:p>
          <w:pPr>
            <w:pStyle w:val="zzFussAdr"/>
          </w:pPr>
          <w:r>
            <w:t>Staatssekretariat für Wirtschaft SECO</w:t>
          </w:r>
          <w:r>
            <w:br/>
            <w:t>Exportkontrollen / Industrieprodukte</w:t>
          </w:r>
        </w:p>
        <w:p>
          <w:pPr>
            <w:pStyle w:val="zzFussAdr"/>
          </w:pPr>
          <w:r>
            <w:t xml:space="preserve">industrieprodukte@seco.admin.ch </w:t>
          </w:r>
        </w:p>
        <w:p>
          <w:pPr>
            <w:pStyle w:val="zzFussAdr"/>
            <w:rPr>
              <w:lang w:val="de-DE"/>
            </w:rPr>
          </w:pPr>
          <w:r>
            <w:rPr>
              <w:lang w:val="de-DE"/>
            </w:rPr>
            <w:t>www.seco.admin.ch</w:t>
          </w:r>
        </w:p>
      </w:tc>
    </w:tr>
    <w:tr>
      <w:trPr>
        <w:trHeight w:val="539"/>
      </w:trPr>
      <w:tc>
        <w:tcPr>
          <w:tcW w:w="4253" w:type="dxa"/>
          <w:vAlign w:val="bottom"/>
        </w:tcPr>
        <w:p>
          <w:pPr>
            <w:pStyle w:val="zzPfad"/>
          </w:pPr>
        </w:p>
      </w:tc>
      <w:tc>
        <w:tcPr>
          <w:tcW w:w="5029" w:type="dxa"/>
        </w:tcPr>
        <w:p/>
      </w:tc>
    </w:tr>
  </w:tbl>
  <w:p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>
      <w:trPr>
        <w:trHeight w:val="340"/>
      </w:trPr>
      <w:tc>
        <w:tcPr>
          <w:tcW w:w="4338" w:type="dxa"/>
        </w:tcPr>
        <w:p>
          <w:pPr>
            <w:pStyle w:val="zzRef"/>
          </w:pPr>
          <w:r>
            <w:rPr>
              <w:noProof/>
            </w:rPr>
            <w:pict>
              <v:group id="_x0000_s2062" style="position:absolute;margin-left:-4.9pt;margin-top:.15pt;width:155.9pt;height:38.75pt;z-index:251659264" coordorigin="1411,9286" coordsize="9056,225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3" type="#_x0000_t75" style="position:absolute;left:3027;top:9286;width:7440;height:2250;visibility:visible">
                  <v:imagedata r:id="rId1" o:title="Bundeslogo_sw_pos_600" cropleft="11776f"/>
                </v:shape>
                <v:shape id="_x0000_s2064" type="#_x0000_t75" style="position:absolute;left:1411;top:9286;width:1620;height:2250;visibility:visible">
                  <v:imagedata r:id="rId2" o:title="Bundeslogo_RGB_pos_600 neu" cropright="53762f"/>
                </v:shape>
              </v:group>
            </w:pict>
          </w:r>
        </w:p>
      </w:tc>
      <w:tc>
        <w:tcPr>
          <w:tcW w:w="4634" w:type="dxa"/>
        </w:tcPr>
        <w:p>
          <w:pPr>
            <w:pStyle w:val="zzKopfDept"/>
            <w:ind w:left="-108"/>
            <w:rPr>
              <w:lang w:val="fr-FR"/>
            </w:rPr>
          </w:pPr>
          <w:r>
            <w:rPr>
              <w:lang w:val="fr-FR"/>
            </w:rPr>
            <w:t>Département fédéral de l’économie DFE</w:t>
          </w:r>
        </w:p>
        <w:p>
          <w:pPr>
            <w:pStyle w:val="zzKopfFett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</w:t>
          </w:r>
        </w:p>
        <w:p>
          <w:pPr>
            <w:pStyle w:val="zzKopfOE"/>
            <w:ind w:left="-108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DOCPROPERTY  FSC#EVDCFG@15.1400:SalutationFrench \* MERGEFORMAT </w:instrText>
          </w:r>
          <w:r>
            <w:fldChar w:fldCharType="separate"/>
          </w:r>
          <w:r>
            <w:rPr>
              <w:lang w:val="fr-FR"/>
            </w:rPr>
            <w:t>Relations économiques bilatérales</w:t>
          </w:r>
        </w:p>
        <w:p>
          <w:pPr>
            <w:pStyle w:val="zzKopfOE"/>
            <w:ind w:left="-108"/>
            <w:rPr>
              <w:lang w:val="fr-CH"/>
            </w:rPr>
          </w:pPr>
          <w:r>
            <w:rPr>
              <w:lang w:val="fr-FR"/>
            </w:rPr>
            <w:t>Contrôles à l'exportation / Produits industriels</w:t>
          </w:r>
          <w:r>
            <w:fldChar w:fldCharType="end"/>
          </w:r>
        </w:p>
      </w:tc>
    </w:tr>
  </w:tbl>
  <w:p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>
      <w:trPr>
        <w:cantSplit/>
        <w:trHeight w:val="1560"/>
      </w:trPr>
      <w:tc>
        <w:tcPr>
          <w:tcW w:w="4605" w:type="dxa"/>
        </w:tcPr>
        <w:p>
          <w:r>
            <w:rPr>
              <w:noProof/>
              <w:lang w:eastAsia="de-CH"/>
            </w:rPr>
            <w:pict>
              <v:group id="_x0000_s2059" style="position:absolute;margin-left:-4.75pt;margin-top:1.2pt;width:155.9pt;height:38.75pt;z-index:251658240" coordorigin="1411,9286" coordsize="9056,225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0" type="#_x0000_t75" style="position:absolute;left:3027;top:9286;width:7440;height:2250;visibility:visible">
                  <v:imagedata r:id="rId1" o:title="Bundeslogo_sw_pos_600" cropleft="11776f"/>
                </v:shape>
                <v:shape id="_x0000_s2061" type="#_x0000_t75" style="position:absolute;left:1411;top:9286;width:1620;height:2250;visibility:visible">
                  <v:imagedata r:id="rId2" o:title="Bundeslogo_RGB_pos_600 neu" cropright="53762f"/>
                </v:shape>
              </v:group>
            </w:pict>
          </w:r>
          <w:r>
            <w:rPr>
              <w:lang w:val="de-DE"/>
            </w:rPr>
            <w:pict>
              <v:group id="LogoCol" o:spid="_x0000_s2056" style="position:absolute;margin-left:-5.6pt;margin-top:.35pt;width:155.9pt;height:38.75pt;z-index:251657216;visibility:hidden" coordorigin="1411,9286" coordsize="9056,2250">
                <o:lock v:ext="edit" aspectratio="t"/>
                <v:shape id="_x0000_s2057" type="#_x0000_t75" style="position:absolute;left:3027;top:9286;width:7440;height:2250;visibility:hidden">
                  <v:imagedata r:id="rId1" o:title="Bundeslogo_sw_pos_600" cropleft="11776f"/>
                </v:shape>
                <v:shape id="_x0000_s2058" type="#_x0000_t75" style="position:absolute;left:1411;top:9286;width:1620;height:2250;visibility:hidden">
                  <v:imagedata r:id="rId2" o:title="Bundeslogo_RGB_pos_600 neu" cropright="53762f"/>
                </v:shape>
              </v:group>
            </w:pict>
          </w:r>
        </w:p>
      </w:tc>
      <w:tc>
        <w:tcPr>
          <w:tcW w:w="4605" w:type="dxa"/>
        </w:tcPr>
        <w:p>
          <w:pPr>
            <w:pStyle w:val="zzKopfOE"/>
          </w:pPr>
          <w:r>
            <w:rPr>
              <w:lang w:val="de-DE"/>
            </w:rPr>
            <w:t>Departement für Wirtschaft, Bildung und Forschung WBF</w:t>
          </w:r>
        </w:p>
        <w:p>
          <w:pPr>
            <w:pStyle w:val="zzKopfOE"/>
            <w:rPr>
              <w:b/>
            </w:rPr>
          </w:pPr>
          <w:r>
            <w:rPr>
              <w:b/>
            </w:rPr>
            <w:t>Staatssekretariat für Wirtschaft SECO</w:t>
          </w:r>
        </w:p>
        <w:p>
          <w:pPr>
            <w:pStyle w:val="zzKopfOE"/>
            <w:rPr>
              <w:b/>
            </w:rPr>
          </w:pPr>
        </w:p>
        <w:p>
          <w:pPr>
            <w:pStyle w:val="zzKopfOE"/>
          </w:pPr>
          <w:r>
            <w:fldChar w:fldCharType="begin"/>
          </w:r>
          <w:r>
            <w:instrText xml:space="preserve"> DOCPROPERTY  FSC#EVDCFG@15.1400:SalutationGerman  \* MERGEFORMAT </w:instrText>
          </w:r>
          <w:r>
            <w:fldChar w:fldCharType="separate"/>
          </w:r>
          <w:r>
            <w:t>Bilaterale Wirtschaftsbeziehungen</w:t>
          </w:r>
        </w:p>
        <w:p>
          <w:pPr>
            <w:pStyle w:val="zzKopfOE"/>
            <w:rPr>
              <w:lang w:val="de-DE"/>
            </w:rPr>
          </w:pPr>
          <w:r>
            <w:t>Exportkontrollen / Industrieprodukte</w:t>
          </w:r>
          <w:r>
            <w:rPr>
              <w:lang w:val="de-DE"/>
            </w:rPr>
            <w:fldChar w:fldCharType="end"/>
          </w:r>
        </w:p>
      </w:tc>
    </w:tr>
  </w:tbl>
  <w:p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cumentProtection w:edit="forms" w:enforcement="1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A4BE2D-B55B-4582-A9A0-DE8AB18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66AA454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2071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Jürgen Boehler Royett</cp:lastModifiedBy>
  <cp:revision>7</cp:revision>
  <cp:lastPrinted>2011-08-04T10:00:00Z</cp:lastPrinted>
  <dcterms:created xsi:type="dcterms:W3CDTF">2011-08-04T09:40:00Z</dcterms:created>
  <dcterms:modified xsi:type="dcterms:W3CDTF">2013-12-30T13:20:00Z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2010-09-06/44</vt:lpwstr>
  </property>
  <property fmtid="{D5CDD505-2E9C-101B-9397-08002B2CF9AE}" pid="3" name="FSC#EVDCFG@15.1400:DossierBarCode">
    <vt:lpwstr>*COO.2101.104.7.8461*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COO.2101.104.5.2251077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Generallizenzen (843.2/2007/00014)</vt:lpwstr>
  </property>
  <property fmtid="{D5CDD505-2E9C-101B-9397-08002B2CF9AE}" pid="13" name="FSC#COOELAK@1.1001:FileRefYear">
    <vt:lpwstr>2007</vt:lpwstr>
  </property>
  <property fmtid="{D5CDD505-2E9C-101B-9397-08002B2CF9AE}" pid="14" name="FSC#COOELAK@1.1001:FileRefOrdinal">
    <vt:lpwstr>14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06.09.2010 11:34:17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*COO.2101.104.5.2251077*</vt:lpwstr>
  </property>
  <property fmtid="{D5CDD505-2E9C-101B-9397-08002B2CF9AE}" pid="29" name="FSC#COOELAK@1.1001:RefBarCode">
    <vt:lpwstr>*Umfrage ICP 2010 d*</vt:lpwstr>
  </property>
  <property fmtid="{D5CDD505-2E9C-101B-9397-08002B2CF9AE}" pid="30" name="FSC#COOELAK@1.1001:FileRefBarCode">
    <vt:lpwstr>*Generallizenzen (843.2/2007/00014)*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843.2/2007/00014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ICP-Umfrage 2010 + Antworten 2010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l'exportation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all'esportazione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06.09.2010 11:34:17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</Properties>
</file>